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b/>
          <w:i w:val="0"/>
          <w:color w:val="1F4E79"/>
          <w:sz w:val="30"/>
        </w:rPr>
        <w:t>MASTER CHECK-LISTA – DOKUMENTACIJA, EVIDENCIJE I OBRASCI</w:t>
      </w:r>
    </w:p>
    <w:p>
      <w:pPr>
        <w:spacing w:after="40" w:before="0"/>
      </w:pPr>
      <w:r>
        <w:rPr>
          <w:b w:val="0"/>
          <w:i/>
          <w:color w:val="555555"/>
          <w:sz w:val="20"/>
        </w:rPr>
        <w:t>Obrt za zastupanje u osiguranju – Pro zastupanje, vl. Vjeko Peretić</w:t>
      </w:r>
    </w:p>
    <w:p>
      <w:pPr>
        <w:spacing w:after="200" w:before="0"/>
      </w:pPr>
      <w:r>
        <w:rPr>
          <w:b w:val="0"/>
          <w:i/>
          <w:color w:val="555555"/>
          <w:sz w:val="18"/>
        </w:rPr>
        <w:t>Verzija 0.1 (nacrt)   |   28.04.2026.   |   Autor: D. Bara (DPO)   |   Status: za pregled (V. Grediček, V. Peretić)</w:t>
      </w:r>
    </w:p>
    <w:p>
      <w:pPr>
        <w:spacing w:after="80" w:before="0"/>
      </w:pPr>
      <w:r>
        <w:rPr>
          <w:b w:val="0"/>
          <w:i w:val="0"/>
          <w:sz w:val="22"/>
        </w:rPr>
        <w:t>Svrha: Jedinstveni popis svih dokumenata, evidencija, obrazaca i zapisnika koje obrt za zastupanje u osiguranju mora imati i voditi da bi bio usklađen s regulatorom (HANFA), zakonima (Zakon o osiguranju, ZSPNFT, GDPR, Zakon o radu, računovodstveni propisi), osiguravajućim društvima i internim politikama. Za svaku stavku navedeno je: pravna osnova, oblik, tko vodi, gdje se čuva, rok čuvanja.</w:t>
      </w:r>
    </w:p>
    <w:p>
      <w:pPr>
        <w:spacing w:before="280" w:after="120"/>
      </w:pPr>
      <w:r>
        <w:rPr>
          <w:b/>
          <w:color w:val="1F4E79"/>
          <w:sz w:val="30"/>
        </w:rPr>
        <w:t>1. REGULATORNI – ZAKON O OSIGURANJU / HANFA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55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Dokument / evidencija</w:t>
            </w:r>
          </w:p>
        </w:tc>
        <w:tc>
          <w:tcPr>
            <w:tcW w:type="dxa" w:w="1984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Pravna osnova</w:t>
            </w:r>
          </w:p>
        </w:tc>
        <w:tc>
          <w:tcPr>
            <w:tcW w:type="dxa" w:w="170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Tko vodi</w:t>
            </w:r>
          </w:p>
        </w:tc>
        <w:tc>
          <w:tcPr>
            <w:tcW w:type="dxa" w:w="255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Format / čuvanje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Rješenje o upisu u Obrtni registar (NKD 66.22)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Zakon o obrtu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Vlasnik (Vjeko)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Trajno – izvornik u sefu, sken na cloudu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Upis u Registar ovlaštenih zastupnika u osiguranju (HANFA)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ZoOs čl. 414.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Vlasnik / Valentina (per zaposlenik posebno)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Trajno; godišnje provjeriti aktualnost popisa zaposlenika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Ugovori o zastupanju s osigurateljima (Adriatic, Allianz, Croatia, Generali, Triglav... 14 trenutno)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ZoOs čl. 408.; čl. 437.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Voditelj posredovanja (Valentina)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Cijelo trajanje + 11 godina nakon prestanka; original u sefu, sken na cloudu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Obrazac „Opće informacije koje pruža Zastupnik u osiguranju”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ZoOs čl. 437.; IDD čl. 18.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Voditelj posredovanja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Aktualna verzija na webu i u uredu; verzionirati pri svakoj izmjeni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Obrazac „Zahtjeva i potreba klijenta” (Demands &amp; Needs) – za svakog klijenta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ZoOs čl. 437. st. 4–5; čl. 444. (test prikladnosti za životna)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Zastupnik koji vodi razgovor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Pisani / e-zapis; min 5 god, preporuka 10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ESIS / informativni obrasci za životna i osiguranja povezana s ulaganjima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ZoOs čl. 442.–444.; PRIIPs Uredba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Zastupnik prije sklapanja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klijentu / proizvodu; 10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Evidencija sklopljenih polica (s premijama, provizijama, statusima)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ZoOs čl. 421.; pravilnik HANFA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Voditelj posredovanja + računovodstvo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Elektronički u CRM-u; 11 god od isteka police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Evidencija prigovora (Complaints register)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ZoOs čl. 410.; HANFA Pravilnik o postupanju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Voditelj posredovanja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Excel/CRM; 5 god od rješavanja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Godišnje izvješće HANFA-i (premije, provizije, struktura)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ZoOs; HANFA pravilnici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Računovodstvo + voditelj posr.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Do 30.4. tekuće za prethodnu; 10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Evidencija stručnog osposobljavanja zastupnika (15 sati godišnje)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ZoOs čl. 415.; HANFA Pravilnik o stručnom osp.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Voditelj posredovanja / HR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zastupniku, godišnje; 5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Police osiguranja od profesionalne odgovornosti (E&amp;O) – obrt + zastupnici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ZoOs čl. 417.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Vlasnik / računovodstvo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Aktualna polica + 10 god nakon isteka</w:t>
            </w:r>
          </w:p>
        </w:tc>
      </w:tr>
    </w:tbl>
    <w:p>
      <w:pPr>
        <w:spacing w:before="280" w:after="120"/>
      </w:pPr>
      <w:r>
        <w:rPr>
          <w:b/>
          <w:color w:val="1F4E79"/>
          <w:sz w:val="30"/>
        </w:rPr>
        <w:t>2. SPRJEČAVANJE PRANJA NOVCA I FINANCIRANJA TERORIZMA (ZSPNFT)</w:t>
      </w:r>
    </w:p>
    <w:p>
      <w:pPr>
        <w:spacing w:after="80" w:before="0"/>
      </w:pPr>
      <w:r>
        <w:rPr>
          <w:b w:val="0"/>
          <w:i/>
          <w:color w:val="555555"/>
          <w:sz w:val="20"/>
        </w:rPr>
        <w:t>Napomena: SPNFT obveze odnose se ISKLJUČIVO na životna osiguranja i osiguranja povezana s ulaganjima. NE primjenjuju se na neživotna osiguranja.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55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Dokument / evidencija</w:t>
            </w:r>
          </w:p>
        </w:tc>
        <w:tc>
          <w:tcPr>
            <w:tcW w:type="dxa" w:w="1984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Pravna osnova</w:t>
            </w:r>
          </w:p>
        </w:tc>
        <w:tc>
          <w:tcPr>
            <w:tcW w:type="dxa" w:w="170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Tko vodi</w:t>
            </w:r>
          </w:p>
        </w:tc>
        <w:tc>
          <w:tcPr>
            <w:tcW w:type="dxa" w:w="255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Format / čuvanje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Interni akt SPNFT (Politike, kontrole i postupci)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ZSPNFT čl. 13.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Vlasnik / ovlaštena osoba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Pisani; revizija pri promjenama propisa, min svake 3 god.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Odluka o imenovanju Ovlaštene osobe i zamjenika SPNFT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ZSPNFT čl. 68.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Vlasnik (Vjeko)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Pisana odluka; trajno + prijava UZSPN-u u 7 dana od imenovanja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Samoprocjena rizika PNFT (obrtu)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ZSPNFT čl. 12.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Ovlaštena osoba SPNFT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Pisani dokument; revizija min 3 god ili pri bitnim promjenama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Obrazac dubinske analize stranke (DAS) – po klijentu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ZSPNFT čl. 15.–17.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Zastupnik koji vodi posao + ovlaštena osoba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klijentu (samo životna i ULI); 10 god od prestanka odnosa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Procjena rizika svakog poslovnog odnosa (NRiziko / SR / VR)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ZSPNFT čl. 14.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Zastupnik + ovlaštena osoba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klijentu; 10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Provjera politički izloženih osoba (PEP)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ZSPNFT čl. 46.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Zastupnik (uvid u registar duznosnici, internet)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klijentu; dokumentirano; 10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Lista indikatora sumnjivih transakcija (Dodatak 1.)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ZSPNFT čl. 60.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Ovlaštena osoba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Sastavni dio Internog akta; redovito ažuriranje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Evidencija sumnjivih transakcija + obavijesti UZSPN-u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ZSPNFT čl. 56., 80.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Ovlaštena osoba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slučaju; obavijest UZSPN-u bez odgađanja; 10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Evidencija gotovinskih transakcija ≥ 10.000 €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ZSPNFT čl. 80.; Pravilnik 11/2023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Ovlaštena osoba + računovodstvo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Obavijest UZSPN-u u 3 dana; 10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Plan i evidencija godišnjeg stručnog osposobljavanja SPNFT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ZSPNFT čl. 73.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Ovlaštena osoba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Plan do kraja prethodne godine; izvješće svake godine; 5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Izvješća o unutarnjoj reviziji SPNFT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ZSPNFT čl. 74.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Vlasnik / unutarnja revizija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Min jednom godišnje; 5 god</w:t>
            </w:r>
          </w:p>
        </w:tc>
      </w:tr>
    </w:tbl>
    <w:p>
      <w:pPr>
        <w:spacing w:before="280" w:after="120"/>
      </w:pPr>
      <w:r>
        <w:rPr>
          <w:b/>
          <w:color w:val="1F4E79"/>
          <w:sz w:val="30"/>
        </w:rPr>
        <w:t>3. ZAŠTITA OSOBNIH PODATAKA (GDPR / ZPOPDP)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55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Dokument / evidencija</w:t>
            </w:r>
          </w:p>
        </w:tc>
        <w:tc>
          <w:tcPr>
            <w:tcW w:type="dxa" w:w="1984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Pravna osnova</w:t>
            </w:r>
          </w:p>
        </w:tc>
        <w:tc>
          <w:tcPr>
            <w:tcW w:type="dxa" w:w="170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Tko vodi</w:t>
            </w:r>
          </w:p>
        </w:tc>
        <w:tc>
          <w:tcPr>
            <w:tcW w:type="dxa" w:w="255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Format / čuvanje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Politika privatnosti / Politika zaštite osobnih podataka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GDPR čl. 13.–14.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DPO / vlasnik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Pisani; objaviti na webu; pri svakoj izmjeni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Pravilnik o organizaciji obrade osobnih podataka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GDPR čl. 5., 24.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DPO / vlasnik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Pisani; revizija min 1× godišnje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Privola za marketinšku komunikaciju (klijent)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GDPR čl. 6.(1)(a), čl. 7.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Zastupnik koji prikuplja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klijentu; do opoziva ili 3 god od posljednje aktivnosti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Privole zaposlenika (kamere, biometrija ako postoji)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GDPR čl. 7.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HR / vlasnik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zaposleniku; trajanje radnog odnosa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Evidencija aktivnosti obrade (Article 30 ROPA)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GDPR čl. 30.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DPO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Pisani / Excel; aktualno i dostupno regulatoru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Evidencija zahtjeva ispitanika (pristup, ispravak, brisanje, prigovor)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GDPR čl. 12.–22.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DPO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zahtjevu; 2 god kao dokaz postupanja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Ugovori s izvršiteljima obrade (DPA)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GDPR čl. 28.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DPO / vlasnik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izvršitelju; cijelo trajanje + 5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Evidencija povreda osobnih podataka (data breach log)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GDPR čl. 33.–34.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DPO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incidentu; 5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DPIA – procjena učinka (ako se obrađuju visokorizični podaci, npr. profiliranje)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GDPR čl. 35.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DPO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procesu; revizija pri promjenama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Obavijest o obradi putem videonadzora (uredu)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GDPR čl. 13.; ZPOPDP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Vlasnik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Istaknuto na ulazu; trajno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Odluka o uvođenju i korištenju nadzornih uređaja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ZPOPDP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Vlasnik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Pisani; trajno</w:t>
            </w:r>
          </w:p>
        </w:tc>
      </w:tr>
    </w:tbl>
    <w:p>
      <w:pPr>
        <w:spacing w:before="280" w:after="120"/>
      </w:pPr>
      <w:r>
        <w:rPr>
          <w:b/>
          <w:color w:val="1F4E79"/>
          <w:sz w:val="30"/>
        </w:rPr>
        <w:t>4. RAČUNOVODSTVO, POREZ, OSTALA POSLOVNA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55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Dokument / evidencija</w:t>
            </w:r>
          </w:p>
        </w:tc>
        <w:tc>
          <w:tcPr>
            <w:tcW w:type="dxa" w:w="1984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Pravna osnova</w:t>
            </w:r>
          </w:p>
        </w:tc>
        <w:tc>
          <w:tcPr>
            <w:tcW w:type="dxa" w:w="170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Tko vodi</w:t>
            </w:r>
          </w:p>
        </w:tc>
        <w:tc>
          <w:tcPr>
            <w:tcW w:type="dxa" w:w="255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Format / čuvanje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Knjiga prometa / KPR / KPI (obrtni registar prihoda)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ZoPDoh; Pravilnik o porezu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Računovodstvo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godini; 11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Računi izdani i primljeni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Zakon o PDV-u; ZoPDoh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Računovodstvo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11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Ugovori o radu i rješenja o plaći (zaposlenici)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Zakon o radu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HR / vlasnik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Cijelo trajanje + 30 god (radne knjižice)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Evidencija radnog vremena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Zakon o radu, Pravilnik 73/2017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HR / svaki zaposlenik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Mjesečno; 6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Pravilnik o radu (ako &gt; 20 zaposlenih) ili interni akti o radu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Zakon o radu čl. 26.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Vlasnik / HR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Pisani; trajno (s izmjenama)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Procjena rizika na radnom mjestu (zaštita na radu)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Zakon o ZNR čl. 18.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Vlasnik + ovlašteni stručnjak ZNR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Pisani; revizija pri promjenama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Ugovori s vanjskim suradnicima (računovođa, IT, GDPR)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Trgovački zakonik / Zakon o obveznim odnosima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Vlasnik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Cijelo trajanje + 10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Polica osig. od opasnosti / poslovne odgovornosti (osim E&amp;O)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Interna procjena rizika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Vlasnik / računovodstvo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Aktualna polica</w:t>
            </w:r>
          </w:p>
        </w:tc>
      </w:tr>
    </w:tbl>
    <w:p>
      <w:pPr>
        <w:spacing w:before="280" w:after="120"/>
      </w:pPr>
      <w:r>
        <w:rPr>
          <w:b/>
          <w:color w:val="1F4E79"/>
          <w:sz w:val="30"/>
        </w:rPr>
        <w:t>5. OPERATIVNO – KLIJENTSKI RAD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55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Dokument / evidencija</w:t>
            </w:r>
          </w:p>
        </w:tc>
        <w:tc>
          <w:tcPr>
            <w:tcW w:type="dxa" w:w="1984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Pravna osnova</w:t>
            </w:r>
          </w:p>
        </w:tc>
        <w:tc>
          <w:tcPr>
            <w:tcW w:type="dxa" w:w="170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Tko vodi</w:t>
            </w:r>
          </w:p>
        </w:tc>
        <w:tc>
          <w:tcPr>
            <w:tcW w:type="dxa" w:w="2551"/>
            <w:shd w:fill="1F4E79" w:val="clear" w:color="auto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Format / čuvanje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CRM zapis o svakom kontaktu / interakciji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Operativna procedura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Zastupnik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klijentu; aktivno + 10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Evidencija pristanaka klijenta (na obradu, na markentinšku komunikaciju)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GDPR + interno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Zastupnik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klijentu; do opoziva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Pohrana ESIS / IDD informativnih obrazaca po klijentu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ZoOs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Zastupnik / CRM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10 god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E-mail i WhatsApp komunikacija (relevantna za klijenta)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Operativna procedura + GDPR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Zastupnik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procesu; minimum trajanje ugovora + 10 god za životna, 5 god za neživotna</w:t>
            </w:r>
          </w:p>
        </w:tc>
      </w:tr>
      <w:tr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Obrazac za prijavu štete (osigurani slučaj)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b w:val="0"/>
                <w:sz w:val="18"/>
              </w:rPr>
              <w:t>Polica + ZoOs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b w:val="0"/>
                <w:sz w:val="18"/>
              </w:rPr>
              <w:t>Zastupnik / klijent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b w:val="0"/>
                <w:sz w:val="18"/>
              </w:rPr>
              <w:t>Po štetnom događaju; 10 god</w:t>
            </w:r>
          </w:p>
        </w:tc>
      </w:tr>
    </w:tbl>
    <w:p>
      <w:pPr>
        <w:spacing w:before="280" w:after="120"/>
      </w:pPr>
      <w:r>
        <w:rPr>
          <w:b/>
          <w:color w:val="1F4E79"/>
          <w:sz w:val="30"/>
        </w:rPr>
        <w:t>OPERATIVNE NAPOMENE I PREPORUKE</w:t>
      </w:r>
    </w:p>
    <w:p>
      <w:pPr>
        <w:pStyle w:val="ListBullet"/>
        <w:spacing w:after="40"/>
      </w:pPr>
      <w:r>
        <w:rPr>
          <w:sz w:val="20"/>
        </w:rPr>
        <w:t>Centralni repozitorij: predlažem strukturu mapa „Pro zastupanje / [Godina] / [Kategorija – Regulatorno|SPNFT|GDPR|Računovodstvo|Operativno]”. Pristup ograničen na vlasnika, voditelja posredovanja, računovodstvo i ovlaštenu osobu SPNFT.</w:t>
      </w:r>
    </w:p>
    <w:p>
      <w:pPr>
        <w:pStyle w:val="ListBullet"/>
        <w:spacing w:after="40"/>
      </w:pPr>
      <w:r>
        <w:rPr>
          <w:sz w:val="20"/>
        </w:rPr>
        <w:t>Kontrolne provjere: jednom godišnje (preporuka u siječnju) provesti unutarnju reviziju – odštampati ovaj check-list i provjeriti da je svaka stavka aktualna.</w:t>
      </w:r>
    </w:p>
    <w:p>
      <w:pPr>
        <w:pStyle w:val="ListBullet"/>
        <w:spacing w:after="40"/>
      </w:pPr>
      <w:r>
        <w:rPr>
          <w:sz w:val="20"/>
        </w:rPr>
        <w:t>Audit-trail: za sve elektroničke evidencije (CRM, e-mail, cloud) osigurati da postoji log promjena (tko je što kada izmijenio).</w:t>
      </w:r>
    </w:p>
    <w:p>
      <w:pPr>
        <w:pStyle w:val="ListBullet"/>
        <w:spacing w:after="40"/>
      </w:pPr>
      <w:r>
        <w:rPr>
          <w:sz w:val="20"/>
        </w:rPr>
        <w:t>Backup: dnevni inkrementalni + tjedni puni backup. Test obnove minimalno jednom godišnje.</w:t>
      </w:r>
    </w:p>
    <w:p>
      <w:pPr>
        <w:pStyle w:val="ListBullet"/>
        <w:spacing w:after="40"/>
      </w:pPr>
      <w:r>
        <w:rPr>
          <w:sz w:val="20"/>
        </w:rPr>
        <w:t>Eskalacija: ako se utvrdi nedostatak ili povreda – obavijestiti ovlaštenu osobu SPNFT (za sumnjive transakcije UZSPN), DPO-a (za GDPR povrede AZOP u 72h), HANFA-u (za regulatorne povrede u rokovima propisanim pravilnikom).</w:t>
      </w:r>
    </w:p>
    <w:p>
      <w:pPr>
        <w:pStyle w:val="ListBullet"/>
        <w:spacing w:after="40"/>
      </w:pPr>
      <w:r>
        <w:rPr>
          <w:sz w:val="20"/>
        </w:rPr>
        <w:t>Verzioniranje dokumenata: svaki interni akt mora imati u zaglavlju „Verzija X.Y / Datum / Donio: [ime] / Datum sljedeće revizije”. Pri svakoj izmjeni stara verzija se arhivira (ne briše).</w:t>
      </w:r>
    </w:p>
    <w:p>
      <w:pPr>
        <w:spacing w:after="80" w:before="0"/>
      </w:pPr>
      <w:r>
        <w:rPr>
          <w:b w:val="0"/>
          <w:i w:val="0"/>
          <w:sz w:val="22"/>
        </w:rPr>
        <w:t xml:space="preserve"> </w:t>
      </w:r>
    </w:p>
    <w:p>
      <w:pPr>
        <w:jc w:val="center"/>
      </w:pPr>
      <w:r>
        <w:rPr>
          <w:i/>
          <w:color w:val="555555"/>
          <w:sz w:val="18"/>
        </w:rPr>
        <w:t>Izradio: dr. sc. Daniel Bara, PMP®, CIPP/E   |   Security Adviser   |   daniel@adventurespirit.hr</w:t>
      </w:r>
    </w:p>
    <w:sectPr w:rsidR="00FC693F" w:rsidRPr="0006063C" w:rsidSect="00034616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